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D4A7" w14:textId="77D27C6D" w:rsidR="009F654E" w:rsidRPr="009F654E" w:rsidRDefault="009F654E" w:rsidP="009F65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F65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Секция </w:t>
      </w:r>
      <w:r w:rsidRPr="009F654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№ 2</w:t>
      </w:r>
      <w:r w:rsidRPr="009F654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r w:rsidRPr="009F65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D3BE46E" w14:textId="1C799AFB" w:rsidR="009F654E" w:rsidRPr="009F654E" w:rsidRDefault="009F654E" w:rsidP="009F654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9F65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Факультет </w:t>
      </w:r>
      <w:r w:rsidRPr="009F65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психологии и педагогики </w:t>
      </w:r>
    </w:p>
    <w:p w14:paraId="5DB74107" w14:textId="77777777" w:rsidR="009F654E" w:rsidRPr="009F654E" w:rsidRDefault="009F654E" w:rsidP="009F6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e-BY" w:eastAsia="ru-RU"/>
        </w:rPr>
      </w:pPr>
    </w:p>
    <w:p w14:paraId="5A46870D" w14:textId="0F8624F5" w:rsidR="009F654E" w:rsidRPr="009F654E" w:rsidRDefault="009F654E" w:rsidP="009F6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F65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УДК 378.147:811(510)</w:t>
      </w:r>
    </w:p>
    <w:p w14:paraId="5EB7F1EF" w14:textId="0CF605D5" w:rsidR="009F654E" w:rsidRPr="009F654E" w:rsidRDefault="009F654E" w:rsidP="009F6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9F65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Ху </w:t>
      </w:r>
      <w:proofErr w:type="spellStart"/>
      <w:r w:rsidRPr="009F65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Шуньчэн</w:t>
      </w:r>
      <w:proofErr w:type="spellEnd"/>
      <w:r w:rsidRPr="009F65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</w:p>
    <w:p w14:paraId="51C95376" w14:textId="77777777" w:rsidR="009F654E" w:rsidRPr="009F654E" w:rsidRDefault="009F654E" w:rsidP="009F6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9F654E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г. Гомель, ГГУ имени Ф. Скорины</w:t>
      </w:r>
    </w:p>
    <w:p w14:paraId="4BA8C321" w14:textId="77777777" w:rsidR="009F654E" w:rsidRPr="009F654E" w:rsidRDefault="009F654E" w:rsidP="009F654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97E02BD" w14:textId="5A2AB6C2" w:rsidR="009F654E" w:rsidRDefault="009E0FDF" w:rsidP="009F654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BY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Проблемы</w:t>
      </w:r>
      <w:r w:rsidRPr="009E0FDF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иноязычного</w:t>
      </w:r>
      <w:r w:rsidRPr="009E0FDF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образования</w:t>
      </w:r>
      <w:r w:rsidRPr="009E0FDF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в</w:t>
      </w:r>
      <w:r w:rsidRPr="009E0FDF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университетах</w:t>
      </w:r>
      <w:r w:rsidRPr="009E0FDF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китая</w:t>
      </w:r>
      <w:r w:rsidRPr="009E0FDF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 </w:t>
      </w:r>
      <w:r w:rsidR="009F654E" w:rsidRPr="009F654E">
        <w:rPr>
          <w:rFonts w:ascii="Times New Roman" w:hAnsi="Times New Roman" w:cs="Times New Roman"/>
          <w:b/>
          <w:bCs/>
          <w:caps/>
          <w:sz w:val="24"/>
          <w:szCs w:val="24"/>
          <w:lang w:val="ru-BY"/>
        </w:rPr>
        <w:t>Problems of foreign language education in Chinese universities</w:t>
      </w:r>
    </w:p>
    <w:p w14:paraId="4D27FFDD" w14:textId="77777777" w:rsidR="009F654E" w:rsidRPr="009F654E" w:rsidRDefault="009F654E" w:rsidP="009F654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BY"/>
        </w:rPr>
      </w:pPr>
    </w:p>
    <w:p w14:paraId="6A052D75" w14:textId="4F11299F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BY"/>
        </w:rPr>
      </w:pP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problems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Chinese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universities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reflect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complex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interplay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historical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cultural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technological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factors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significantly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impact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acquisition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engagement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Historically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China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transitioned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from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traditional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rote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methods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more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communicative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approaches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particularly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globalization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prompted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re-evaluation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pedagogical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strategies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early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1990s.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However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despite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shifts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system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grapples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persistent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issues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including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shortage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qualified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ineffective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teaching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methodologies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lack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engagement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which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hinder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overall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effectiveness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instruction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rapid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expansion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China's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economy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increasing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number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international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have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pressing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demand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quality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pressure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practices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both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global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standards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ideological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conformity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poses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significant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challenges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tension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compounded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traditional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examination-driven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pedagogies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which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often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conflict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diverse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needs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evolving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demands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labor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market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dditionally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integration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technology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remains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inconsistent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many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struggling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adapt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digital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tools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methodologies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could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enhance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experience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</w:p>
    <w:p w14:paraId="1ED8A407" w14:textId="5CE74182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BY"/>
        </w:rPr>
      </w:pP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Controversies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surrounding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Chinese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universities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also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highlight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sociocultural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context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shapes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'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perceptions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Many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view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acquisition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merely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means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academic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rather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pathway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cultural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understanding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global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engagement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</w:p>
    <w:p w14:paraId="7E4EBA45" w14:textId="5AFD46B4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BY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proofErr w:type="gram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disconnect</w:t>
      </w:r>
      <w:proofErr w:type="spellEnd"/>
      <w:proofErr w:type="gram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alongside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regional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disparities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resources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practices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further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complicates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landscape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China.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Efforts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reform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curricula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pedagogical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approaches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often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face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resistance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leading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gap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between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policy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intentions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classroom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realities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</w:p>
    <w:p w14:paraId="51FA12E3" w14:textId="77777777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BY"/>
        </w:rPr>
      </w:pP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 In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summary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challenges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facing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Chinese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universities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multifaceted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demand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comprehensive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reforms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Addressing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issues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requires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innovative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teaching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practices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enhanced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professional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development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shift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engagement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strategies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ensure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effectively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meets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needs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increasingly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interconnected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world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</w:p>
    <w:p w14:paraId="5D16AE97" w14:textId="77777777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BY"/>
        </w:rPr>
      </w:pP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development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China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undergone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significant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transformation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particularly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response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globalization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changing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demands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In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early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1990s,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primarily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viewed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through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traditional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lens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focusing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rote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grammar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translation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methods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However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approach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faced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mounting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criticism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globalization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accelerated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necessitating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shift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toward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more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communicative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contextually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relevant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instruction</w:t>
      </w:r>
      <w:proofErr w:type="spellEnd"/>
    </w:p>
    <w:p w14:paraId="148FB6E6" w14:textId="3FB211D1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BY"/>
        </w:rPr>
      </w:pP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rapid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expansion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China's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economy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integration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global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market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prompted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dramatic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increase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number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seeking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Chinese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universities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Between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2011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2017,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over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67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percent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increase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higher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enrollment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reflecting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growing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desire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among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international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quality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better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opportunities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influx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not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only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enriched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academic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environment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but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also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reevaluation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pedagogical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approaches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employed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</w:p>
    <w:p w14:paraId="504F2E78" w14:textId="316FDD0D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654E">
        <w:rPr>
          <w:rFonts w:ascii="Times New Roman" w:hAnsi="Times New Roman" w:cs="Times New Roman"/>
          <w:sz w:val="24"/>
          <w:szCs w:val="24"/>
          <w:lang w:val="ru-BY"/>
        </w:rPr>
        <w:lastRenderedPageBreak/>
        <w:t xml:space="preserve">In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last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decade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convergence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hyper-globalization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Belt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Road Initiative,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"Double First-Class"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agenda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intensified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pressures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policies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have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called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innovative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curriculum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reforms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balance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global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competence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ideological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conformity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often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creating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tension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between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internationalization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efforts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need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ideological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alignment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content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Researchers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have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noted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conventional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examination-driven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pedagogies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increasingly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odds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diverse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needs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learners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rapidly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changing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labor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market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888B06" w14:textId="63FC79E2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BY"/>
        </w:rPr>
      </w:pP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Despite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emphasis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modernizing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significant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challenges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remain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traditional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focus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examination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results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contributed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lack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qualified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professionals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leading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some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describe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shortage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compound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talents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China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Moreover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emergence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artificial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intelligence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technologies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further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complicated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landscape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prompting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questions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about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relevance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traditional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amidst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advancements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translation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technology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I</w:t>
      </w: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n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response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growing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recognition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need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innovative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teaching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methodologies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address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evolving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demands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both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job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market.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landscape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Chinese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universities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fraught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several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challenges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hinder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effective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engagement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among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</w:p>
    <w:p w14:paraId="14416DB4" w14:textId="77A65657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One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primary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issues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related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classroom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management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teaching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methodologies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where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often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face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difficulties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accommodating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diverse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needs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varying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proficiency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levels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lack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tailored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instructional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strategies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can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disengagement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lower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overall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academic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performance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among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ultimately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affecting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their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acquisition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proficiency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outcomes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Research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consistently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shown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engagement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crucial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determinant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successful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behaviors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outcomes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direct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correlation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exists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between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engagement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essential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skills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such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critical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thinking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motivation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problem-solving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Unfortunately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many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experience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low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engagement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which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not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only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exacerbates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issues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such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academic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burnout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high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dropout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rates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but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also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undermines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their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mastery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0FB64B" w14:textId="165E6D03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rapid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advancement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technology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presents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both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challenges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opportunities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teaching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Many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struggle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integrating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digital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tools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their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pedagogy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effectively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disparity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between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technology's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rapid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evolution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instructors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'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digital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competence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can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underutilization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technological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resources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limiting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innovative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experiences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Moreover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ambivalent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attitudes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towards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technology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among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alike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can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hinder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successful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adoption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technology-mediated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practices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C5A43F" w14:textId="257E4177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BY"/>
        </w:rPr>
      </w:pP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ongoing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reforms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English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curriculum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aim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shift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focus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from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traditional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rote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more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practical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humanistic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approaches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However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reforms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face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significant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hurdles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implementation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including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resistance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change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from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insufficient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training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new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pedagogical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methods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Consequently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while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intentions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behind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curriculum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changes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sound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their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actualization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often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falls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short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enhancing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quality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</w:p>
    <w:p w14:paraId="73131DCA" w14:textId="2C03421D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BY"/>
        </w:rPr>
      </w:pP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sociocultural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context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also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poses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challenge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Many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struggle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connect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their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real-world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applications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diminishing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their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motivation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engage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deeply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material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disconnect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can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result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perceiving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merely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means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academic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rather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tool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cultural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global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understanding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further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impeding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their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engagement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success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landscape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Chinese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universities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marked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significant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regional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disparities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influenced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local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practices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cultural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values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social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expectations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factors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contribute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varying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experiences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different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regions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China.</w:t>
      </w:r>
    </w:p>
    <w:p w14:paraId="43469803" w14:textId="266BAF5E" w:rsid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Cultural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differences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play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crucial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role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shaping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experiences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China.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instance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children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who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attend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public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schools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Baoding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often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face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challenges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adapting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Chinese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model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which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emphasizes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rigorous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memorization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lastRenderedPageBreak/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high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volume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homework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unlike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many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Western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systems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prioritize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outdoor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activities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creative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pursuits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stark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contrast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socialization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practices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many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Chinese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children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raised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grandparents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under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one-child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policy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further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complicates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interactions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between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local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8E987C" w14:textId="5247BBB2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objectives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Chinese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also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differ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from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those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Western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countries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Research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indicates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Chinese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generally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exhibit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more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performance-oriented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goals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compared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their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North American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counterparts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trend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driven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competitive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nature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Chinese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system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However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essential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avoid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overgeneralizations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instances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where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Chinese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display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mastery-oriented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goals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particularly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university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settings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where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English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proficiency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considered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competency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8622F7" w14:textId="77777777" w:rsid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Language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itself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presents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myriad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challenges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vary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regionally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instance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struggle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contextual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factors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surrounding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English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Foreign Language (EFL)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which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can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exacerbated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their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prior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experiences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their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home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countries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lack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uniformity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pronunciation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regional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dialects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China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can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also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hinder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effective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communication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comprehension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CDB62D" w14:textId="1B82EC96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BY"/>
        </w:rPr>
      </w:pP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influence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local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institutions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further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exacerbates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regional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differences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Some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universities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have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better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resources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support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systems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others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leading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disparities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quality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provided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example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institutions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focus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research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academic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excellence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foster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environment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encourages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innovative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teaching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practices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while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others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may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struggle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bureaucratic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challenges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limit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pedagogical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advancements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Foreign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Chinese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universities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evolved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significantly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over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recent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years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yet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faces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multitude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challenges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impact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effectiveness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primary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concern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shortage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qualified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which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hampers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overall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quality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instruction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development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compound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talents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Furthermore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mismatch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between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traditional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teaching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methods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demands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rapidly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globalizing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world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creates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tension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framework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</w:p>
    <w:p w14:paraId="58111737" w14:textId="59B83A42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BY"/>
        </w:rPr>
      </w:pP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Research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methodologies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field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have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also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critiqued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call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more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diverse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approaches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including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mixed-methods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research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classroom-based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experimentation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better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understand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address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complex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dynamics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acquisition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suggests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broader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methodological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perspective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could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illuminate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specific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challenges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faced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learners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alike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thereby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improving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pedagogical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strategies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</w:p>
    <w:p w14:paraId="252DE820" w14:textId="2D6251A6" w:rsidR="009F654E" w:rsidRP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BY"/>
        </w:rPr>
      </w:pP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Affective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factors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such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motivation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engagement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critical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successful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outcomes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. It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shown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that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strong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connection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between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learners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instructors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can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significantly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enhance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engagement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which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essential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for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academic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achievement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English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Foreign Language (EFL)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contexts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In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respect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effectiveness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acquisition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not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solely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dependent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pedagogical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methods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but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also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interpersonal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dynamics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classroom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National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policies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also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play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crucial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role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shaping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landscape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foreign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language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China. The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dual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focus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global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competence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ideological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alignment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complicates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curriculum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design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implementation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educators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must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balance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international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standards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local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values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This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tension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necessitates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a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careful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consideration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of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how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policies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are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enacted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within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educational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settings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,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influencing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both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teaching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practices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and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student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 xml:space="preserve"> </w:t>
      </w:r>
      <w:proofErr w:type="spellStart"/>
      <w:r w:rsidRPr="009F654E">
        <w:rPr>
          <w:rFonts w:ascii="Times New Roman" w:hAnsi="Times New Roman" w:cs="Times New Roman"/>
          <w:sz w:val="24"/>
          <w:szCs w:val="24"/>
          <w:lang w:val="ru-BY"/>
        </w:rPr>
        <w:t>outcomes</w:t>
      </w:r>
      <w:proofErr w:type="spellEnd"/>
      <w:r w:rsidRPr="009F654E">
        <w:rPr>
          <w:rFonts w:ascii="Times New Roman" w:hAnsi="Times New Roman" w:cs="Times New Roman"/>
          <w:sz w:val="24"/>
          <w:szCs w:val="24"/>
          <w:lang w:val="ru-BY"/>
        </w:rPr>
        <w:t>.</w:t>
      </w:r>
    </w:p>
    <w:p w14:paraId="35AFA727" w14:textId="77777777" w:rsid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BY"/>
        </w:rPr>
      </w:pPr>
    </w:p>
    <w:p w14:paraId="2425B6A9" w14:textId="0AA97BE3" w:rsid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proofErr w:type="spellStart"/>
      <w:r w:rsidRPr="009F654E">
        <w:rPr>
          <w:rFonts w:ascii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</w:p>
    <w:p w14:paraId="2302630C" w14:textId="2D9E83F3" w:rsid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1BC3B1" w14:textId="4E90579D" w:rsidR="009F654E" w:rsidRPr="00BB371C" w:rsidRDefault="009F654E" w:rsidP="00BB371C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371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>iu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>, N.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>Learner views on English and English language teaching in China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 / N. Liu //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 International Multilingual Research Journal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>. –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. – № 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>10(2)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. – PP. 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>137-157.</w:t>
      </w:r>
    </w:p>
    <w:p w14:paraId="3538CAC8" w14:textId="2690B8D1" w:rsidR="009F654E" w:rsidRPr="00BB371C" w:rsidRDefault="00BB371C" w:rsidP="00BB371C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Fang, F.A. A </w:t>
      </w:r>
      <w:r w:rsidR="009F654E" w:rsidRPr="00BB371C">
        <w:rPr>
          <w:rFonts w:ascii="Times New Roman" w:hAnsi="Times New Roman" w:cs="Times New Roman"/>
          <w:sz w:val="24"/>
          <w:szCs w:val="24"/>
          <w:lang w:val="en-US"/>
        </w:rPr>
        <w:t>discussion on developing students' communicative competence in college English teaching in China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B371C">
        <w:rPr>
          <w:rFonts w:ascii="Times New Roman" w:hAnsi="Times New Roman" w:cs="Times New Roman"/>
          <w:sz w:val="24"/>
          <w:szCs w:val="24"/>
          <w:lang w:val="en-US"/>
        </w:rPr>
        <w:t>/  F.A.</w:t>
      </w:r>
      <w:proofErr w:type="gramEnd"/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 Fang  //</w:t>
      </w:r>
      <w:r w:rsidR="009F654E"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 Journal of language teaching and research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="009F654E"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 2010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. –  № </w:t>
      </w:r>
      <w:r w:rsidR="009F654E" w:rsidRPr="00BB371C">
        <w:rPr>
          <w:rFonts w:ascii="Times New Roman" w:hAnsi="Times New Roman" w:cs="Times New Roman"/>
          <w:sz w:val="24"/>
          <w:szCs w:val="24"/>
          <w:lang w:val="en-US"/>
        </w:rPr>
        <w:t>1(2)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PP. </w:t>
      </w:r>
      <w:r w:rsidR="009F654E" w:rsidRPr="00BB371C">
        <w:rPr>
          <w:rFonts w:ascii="Times New Roman" w:hAnsi="Times New Roman" w:cs="Times New Roman"/>
          <w:sz w:val="24"/>
          <w:szCs w:val="24"/>
          <w:lang w:val="en-US"/>
        </w:rPr>
        <w:t>111-116.</w:t>
      </w:r>
    </w:p>
    <w:p w14:paraId="0174B0E6" w14:textId="0C1A9C87" w:rsidR="009F654E" w:rsidRPr="00BB371C" w:rsidRDefault="00BB371C" w:rsidP="001B4244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BY"/>
        </w:rPr>
      </w:pPr>
      <w:r w:rsidRPr="00BB371C">
        <w:rPr>
          <w:rFonts w:ascii="Times New Roman" w:hAnsi="Times New Roman" w:cs="Times New Roman"/>
          <w:sz w:val="24"/>
          <w:szCs w:val="24"/>
          <w:lang w:val="en-US"/>
        </w:rPr>
        <w:lastRenderedPageBreak/>
        <w:t>T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>eng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, X., Bilingualism and bilingual education in China 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proofErr w:type="gramStart"/>
      <w:r w:rsidRPr="00BB371C">
        <w:rPr>
          <w:rFonts w:ascii="Times New Roman" w:hAnsi="Times New Roman" w:cs="Times New Roman"/>
          <w:sz w:val="24"/>
          <w:szCs w:val="24"/>
          <w:lang w:val="en-US"/>
        </w:rPr>
        <w:t>X.Teng</w:t>
      </w:r>
      <w:proofErr w:type="spellEnd"/>
      <w:proofErr w:type="gramEnd"/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  //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 Ethnicity, Race, and Nationality in Education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>2001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 xml:space="preserve">. – №10. –  PP. </w:t>
      </w:r>
      <w:r w:rsidRPr="00BB371C">
        <w:rPr>
          <w:rFonts w:ascii="Times New Roman" w:hAnsi="Times New Roman" w:cs="Times New Roman"/>
          <w:sz w:val="24"/>
          <w:szCs w:val="24"/>
          <w:lang w:val="en-US"/>
        </w:rPr>
        <w:t>265-282.</w:t>
      </w:r>
    </w:p>
    <w:p w14:paraId="188DB7A6" w14:textId="77777777" w:rsidR="009F654E" w:rsidRDefault="009F654E" w:rsidP="009F6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BY"/>
        </w:rPr>
      </w:pPr>
    </w:p>
    <w:sectPr w:rsidR="009F654E" w:rsidSect="009F654E"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7714"/>
    <w:multiLevelType w:val="hybridMultilevel"/>
    <w:tmpl w:val="A47EDEE0"/>
    <w:lvl w:ilvl="0" w:tplc="8C3EB9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4E"/>
    <w:rsid w:val="00511927"/>
    <w:rsid w:val="009E0FDF"/>
    <w:rsid w:val="009F654E"/>
    <w:rsid w:val="00BB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2BB0"/>
  <w15:chartTrackingRefBased/>
  <w15:docId w15:val="{8C3D2807-4381-48C8-BC14-EA8E5379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71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4363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11604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83558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850578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10875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79288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5072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20377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7747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07490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1670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93046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25153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1882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0601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07688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65528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554294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557154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3559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41098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210995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8068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525421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115075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171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9868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4938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9103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327274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39588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132831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57511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789858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07241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04540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30523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59913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21929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41561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51481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669345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57486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26394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70514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7172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95505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8417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402197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114668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284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06182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Bejzerov</dc:creator>
  <cp:keywords/>
  <dc:description/>
  <cp:lastModifiedBy>Vladislav Bejzerov</cp:lastModifiedBy>
  <cp:revision>1</cp:revision>
  <dcterms:created xsi:type="dcterms:W3CDTF">2026-01-21T08:59:00Z</dcterms:created>
  <dcterms:modified xsi:type="dcterms:W3CDTF">2026-01-21T14:27:00Z</dcterms:modified>
</cp:coreProperties>
</file>