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CD" w:rsidRPr="00366586" w:rsidRDefault="006305CD" w:rsidP="001C02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52374104"/>
      <w:bookmarkStart w:id="1" w:name="_Toc53087712"/>
      <w:r w:rsidRPr="0036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Секция </w:t>
      </w:r>
      <w:r w:rsidRPr="003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366586" w:rsidRPr="0036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1C028D" w:rsidRPr="00366586" w:rsidRDefault="001C028D" w:rsidP="001C02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366586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Факультет физики и информационных технологий</w:t>
      </w:r>
    </w:p>
    <w:p w:rsidR="00366586" w:rsidRDefault="00366586" w:rsidP="001C02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66586" w:rsidRPr="001C028D" w:rsidRDefault="006305CD" w:rsidP="001C02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C02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1B4E9B" w:rsidRPr="001C02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53 (077)</w:t>
      </w:r>
    </w:p>
    <w:p w:rsidR="00782338" w:rsidRPr="0090225F" w:rsidRDefault="001C028D" w:rsidP="001C02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1C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О. М. Дерюжкова</w:t>
      </w:r>
      <w:r w:rsidR="0090225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:rsidR="0090225F" w:rsidRDefault="0090225F" w:rsidP="001C02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e-BY" w:eastAsia="ru-RU"/>
        </w:rPr>
        <w:t>1</w:t>
      </w:r>
      <w:r w:rsidR="001B4E9B" w:rsidRPr="001C028D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г. Гомель, ГГУ имени Ф. Скорины</w:t>
      </w:r>
    </w:p>
    <w:p w:rsidR="006305CD" w:rsidRPr="0090225F" w:rsidRDefault="0090225F" w:rsidP="001C02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be-BY" w:eastAsia="ru-RU"/>
        </w:rPr>
        <w:t>2</w:t>
      </w:r>
      <w:r w:rsidRPr="001C028D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г. Гомель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, Г</w:t>
      </w:r>
      <w:r w:rsidR="007D5C8B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ом</w:t>
      </w:r>
      <w:r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>ГМУ</w:t>
      </w:r>
      <w:r w:rsidR="00782338" w:rsidRPr="001C028D">
        <w:rPr>
          <w:rFonts w:ascii="Times New Roman" w:eastAsia="Times New Roman" w:hAnsi="Times New Roman" w:cs="Times New Roman"/>
          <w:i/>
          <w:sz w:val="24"/>
          <w:szCs w:val="24"/>
          <w:lang w:val="be-BY" w:eastAsia="ru-RU"/>
        </w:rPr>
        <w:t xml:space="preserve"> </w:t>
      </w:r>
    </w:p>
    <w:p w:rsidR="006305CD" w:rsidRPr="001C028D" w:rsidRDefault="006305CD" w:rsidP="001C028D">
      <w:pPr>
        <w:pStyle w:val="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bookmarkEnd w:id="0"/>
    <w:bookmarkEnd w:id="1"/>
    <w:p w:rsidR="00D13D5E" w:rsidRDefault="001B4E9B" w:rsidP="00F35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8D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 xml:space="preserve">методика </w:t>
      </w:r>
      <w:r w:rsid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ИЗМЕРЕНИя</w:t>
      </w:r>
      <w:r w:rsidR="00F358C7" w:rsidRP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 xml:space="preserve"> ЗАГРЯЗНЕННОСТИ ПОВЕРХНОСТЕЙ </w:t>
      </w:r>
      <w:r w:rsid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br/>
      </w:r>
      <w:r w:rsidR="00F358C7" w:rsidRP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БЕТА-</w:t>
      </w:r>
      <w:r w:rsid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активны</w:t>
      </w:r>
      <w:r w:rsidR="00F358C7" w:rsidRP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>МИ РАДИОНУКЛИДАМИ</w:t>
      </w:r>
      <w:r w:rsidR="00F358C7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ru-RU"/>
        </w:rPr>
        <w:t xml:space="preserve"> на лабораторных занятиях с иностранными студентами</w:t>
      </w:r>
    </w:p>
    <w:p w:rsidR="001C028D" w:rsidRDefault="001C028D" w:rsidP="003F2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28D" w:rsidRPr="00F358C7" w:rsidRDefault="00C33994" w:rsidP="00F3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994">
        <w:rPr>
          <w:rFonts w:ascii="Times New Roman" w:hAnsi="Times New Roman" w:cs="Times New Roman"/>
          <w:b/>
          <w:sz w:val="24"/>
          <w:szCs w:val="24"/>
        </w:rPr>
        <w:t>Аннотация.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25F">
        <w:rPr>
          <w:rFonts w:ascii="Times New Roman" w:hAnsi="Times New Roman" w:cs="Times New Roman"/>
          <w:sz w:val="24"/>
          <w:szCs w:val="24"/>
        </w:rPr>
        <w:t>В</w:t>
      </w:r>
      <w:r w:rsidR="00F358C7" w:rsidRPr="00F358C7">
        <w:rPr>
          <w:rFonts w:ascii="Times New Roman" w:hAnsi="Times New Roman" w:cs="Times New Roman"/>
          <w:sz w:val="24"/>
          <w:szCs w:val="24"/>
        </w:rPr>
        <w:t xml:space="preserve"> </w:t>
      </w:r>
      <w:r w:rsidR="00F358C7">
        <w:rPr>
          <w:rFonts w:ascii="Times New Roman" w:hAnsi="Times New Roman" w:cs="Times New Roman"/>
          <w:sz w:val="24"/>
          <w:szCs w:val="24"/>
        </w:rPr>
        <w:t>статье</w:t>
      </w:r>
      <w:r w:rsidR="00F358C7" w:rsidRPr="00F358C7">
        <w:rPr>
          <w:rFonts w:ascii="Times New Roman" w:hAnsi="Times New Roman" w:cs="Times New Roman"/>
          <w:sz w:val="24"/>
          <w:szCs w:val="24"/>
        </w:rPr>
        <w:t xml:space="preserve"> пред</w:t>
      </w:r>
      <w:r w:rsidR="0090225F">
        <w:rPr>
          <w:rFonts w:ascii="Times New Roman" w:hAnsi="Times New Roman" w:cs="Times New Roman"/>
          <w:sz w:val="24"/>
          <w:szCs w:val="24"/>
        </w:rPr>
        <w:t>ставл</w:t>
      </w:r>
      <w:r w:rsidR="00F358C7" w:rsidRPr="00F358C7">
        <w:rPr>
          <w:rFonts w:ascii="Times New Roman" w:hAnsi="Times New Roman" w:cs="Times New Roman"/>
          <w:sz w:val="24"/>
          <w:szCs w:val="24"/>
        </w:rPr>
        <w:t xml:space="preserve">ена методика </w:t>
      </w:r>
      <w:r w:rsidR="00F358C7">
        <w:rPr>
          <w:rFonts w:ascii="Times New Roman" w:hAnsi="Times New Roman" w:cs="Times New Roman"/>
          <w:sz w:val="24"/>
          <w:szCs w:val="24"/>
        </w:rPr>
        <w:t>и</w:t>
      </w:r>
      <w:r w:rsidR="00F358C7" w:rsidRPr="00F358C7">
        <w:rPr>
          <w:rFonts w:ascii="Times New Roman" w:hAnsi="Times New Roman" w:cs="Times New Roman"/>
          <w:sz w:val="24"/>
          <w:szCs w:val="24"/>
        </w:rPr>
        <w:t>змерения загрязненности поверхностей помещения бета-</w:t>
      </w:r>
      <w:r w:rsidR="00F358C7">
        <w:rPr>
          <w:rFonts w:ascii="Times New Roman" w:hAnsi="Times New Roman" w:cs="Times New Roman"/>
          <w:sz w:val="24"/>
          <w:szCs w:val="24"/>
        </w:rPr>
        <w:t>активны</w:t>
      </w:r>
      <w:r w:rsidR="00F358C7" w:rsidRPr="00F358C7">
        <w:rPr>
          <w:rFonts w:ascii="Times New Roman" w:hAnsi="Times New Roman" w:cs="Times New Roman"/>
          <w:sz w:val="24"/>
          <w:szCs w:val="24"/>
        </w:rPr>
        <w:t>ми радионуклидами с помощью прибора РКСБ-104 «Радиан».</w:t>
      </w:r>
      <w:r w:rsidR="00F358C7">
        <w:rPr>
          <w:rFonts w:ascii="Times New Roman" w:hAnsi="Times New Roman" w:cs="Times New Roman"/>
          <w:sz w:val="24"/>
          <w:szCs w:val="24"/>
        </w:rPr>
        <w:t xml:space="preserve"> </w:t>
      </w:r>
      <w:r w:rsidR="0090225F">
        <w:rPr>
          <w:rFonts w:ascii="Times New Roman" w:hAnsi="Times New Roman" w:cs="Times New Roman"/>
          <w:sz w:val="24"/>
          <w:szCs w:val="24"/>
        </w:rPr>
        <w:t>Данная методика используется при проведении лабораторных работ на английском языке при изучении дисциплин «Защита населения от чрезвычайных ситуаций. Радиационная безопасность» (Гомельский государственный университет им.</w:t>
      </w:r>
      <w:r w:rsidR="006E5C37" w:rsidRPr="00AD7347">
        <w:rPr>
          <w:sz w:val="20"/>
          <w:szCs w:val="20"/>
          <w:lang w:eastAsia="be-BY"/>
        </w:rPr>
        <w:t> </w:t>
      </w:r>
      <w:r w:rsidR="0090225F">
        <w:rPr>
          <w:rFonts w:ascii="Times New Roman" w:hAnsi="Times New Roman" w:cs="Times New Roman"/>
          <w:sz w:val="24"/>
          <w:szCs w:val="24"/>
        </w:rPr>
        <w:t>Ф.</w:t>
      </w:r>
      <w:r w:rsidR="006E5C37" w:rsidRPr="00AD7347">
        <w:rPr>
          <w:sz w:val="20"/>
          <w:szCs w:val="20"/>
          <w:lang w:eastAsia="be-BY"/>
        </w:rPr>
        <w:t> </w:t>
      </w:r>
      <w:r w:rsidR="0090225F">
        <w:rPr>
          <w:rFonts w:ascii="Times New Roman" w:hAnsi="Times New Roman" w:cs="Times New Roman"/>
          <w:sz w:val="24"/>
          <w:szCs w:val="24"/>
        </w:rPr>
        <w:t xml:space="preserve">Скорины) и «Медицинская и биологическая физика» (Гомельский государственный медицинский университет). </w:t>
      </w:r>
      <w:r>
        <w:rPr>
          <w:rFonts w:ascii="Times New Roman" w:hAnsi="Times New Roman" w:cs="Times New Roman"/>
          <w:sz w:val="24"/>
          <w:szCs w:val="24"/>
        </w:rPr>
        <w:t>Методика заключается в последовательном выполнении определенных действий: изучение основного теоретического материала; п</w:t>
      </w:r>
      <w:r w:rsidRPr="00C33994">
        <w:rPr>
          <w:rFonts w:ascii="Times New Roman" w:hAnsi="Times New Roman" w:cs="Times New Roman"/>
          <w:sz w:val="24"/>
          <w:szCs w:val="24"/>
        </w:rPr>
        <w:t xml:space="preserve">одготовка прибора </w:t>
      </w:r>
      <w:r>
        <w:rPr>
          <w:rFonts w:ascii="Times New Roman" w:hAnsi="Times New Roman" w:cs="Times New Roman"/>
          <w:sz w:val="24"/>
          <w:szCs w:val="24"/>
        </w:rPr>
        <w:t>к работе; п</w:t>
      </w:r>
      <w:r w:rsidRPr="00C33994">
        <w:rPr>
          <w:rFonts w:ascii="Times New Roman" w:hAnsi="Times New Roman" w:cs="Times New Roman"/>
          <w:sz w:val="24"/>
          <w:szCs w:val="24"/>
        </w:rPr>
        <w:t>роведение измерений</w:t>
      </w:r>
      <w:r>
        <w:rPr>
          <w:rFonts w:ascii="Times New Roman" w:hAnsi="Times New Roman" w:cs="Times New Roman"/>
          <w:sz w:val="24"/>
          <w:szCs w:val="24"/>
        </w:rPr>
        <w:t xml:space="preserve"> и обработка результатов. Итогом выполнения работы является изображение карты</w:t>
      </w:r>
      <w:r w:rsidRPr="00C33994">
        <w:rPr>
          <w:rFonts w:ascii="Times New Roman" w:hAnsi="Times New Roman" w:cs="Times New Roman"/>
          <w:sz w:val="24"/>
          <w:szCs w:val="24"/>
        </w:rPr>
        <w:t xml:space="preserve"> загрязнения </w:t>
      </w:r>
      <w:r>
        <w:rPr>
          <w:rFonts w:ascii="Times New Roman" w:hAnsi="Times New Roman" w:cs="Times New Roman"/>
          <w:sz w:val="24"/>
          <w:szCs w:val="24"/>
        </w:rPr>
        <w:t xml:space="preserve">исследуемых поверхностей </w:t>
      </w:r>
      <w:r w:rsidRPr="00C33994">
        <w:rPr>
          <w:rFonts w:ascii="Times New Roman" w:hAnsi="Times New Roman" w:cs="Times New Roman"/>
          <w:sz w:val="24"/>
          <w:szCs w:val="24"/>
        </w:rPr>
        <w:t xml:space="preserve">с указанием </w:t>
      </w:r>
      <w:r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Pr="00C33994">
        <w:rPr>
          <w:rFonts w:ascii="Times New Roman" w:hAnsi="Times New Roman" w:cs="Times New Roman"/>
          <w:sz w:val="24"/>
          <w:szCs w:val="24"/>
        </w:rPr>
        <w:t>значений и абсолютных погрешностей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28D" w:rsidRDefault="001C028D" w:rsidP="003F2F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2A1C" w:rsidRPr="00C54E15" w:rsidRDefault="00832A1C" w:rsidP="00832A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UDC</w:t>
      </w:r>
      <w:r w:rsidRPr="00C54E1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53 (077)</w:t>
      </w:r>
    </w:p>
    <w:p w:rsidR="006E5C37" w:rsidRPr="00C54E15" w:rsidRDefault="006E5C37" w:rsidP="006E5C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5C37">
        <w:rPr>
          <w:rFonts w:ascii="Times New Roman" w:hAnsi="Times New Roman" w:cs="Times New Roman"/>
          <w:b/>
          <w:i/>
          <w:sz w:val="24"/>
          <w:szCs w:val="24"/>
          <w:lang w:val="en-US"/>
        </w:rPr>
        <w:t>O. M. Deryuzhkova</w:t>
      </w:r>
      <w:r w:rsidRPr="006E5C37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en-US"/>
        </w:rPr>
        <w:t>1,2</w:t>
      </w:r>
    </w:p>
    <w:p w:rsidR="006E5C37" w:rsidRPr="006E5C37" w:rsidRDefault="006E5C37" w:rsidP="006E5C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5C37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6E5C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Gomel, </w:t>
      </w:r>
      <w:r w:rsidR="00D92220" w:rsidRPr="00D92220">
        <w:rPr>
          <w:rFonts w:ascii="Times New Roman" w:hAnsi="Times New Roman" w:cs="Times New Roman"/>
          <w:i/>
          <w:sz w:val="24"/>
          <w:szCs w:val="24"/>
          <w:lang w:val="en-US"/>
        </w:rPr>
        <w:t>GSU</w:t>
      </w:r>
    </w:p>
    <w:p w:rsidR="006E5C37" w:rsidRPr="006E5C37" w:rsidRDefault="006E5C37" w:rsidP="006E5C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E5C37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6E5C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Gomel, </w:t>
      </w:r>
      <w:proofErr w:type="spellStart"/>
      <w:r w:rsidRPr="006E5C37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7D5C8B">
        <w:rPr>
          <w:rFonts w:ascii="Times New Roman" w:hAnsi="Times New Roman" w:cs="Times New Roman"/>
          <w:i/>
          <w:sz w:val="24"/>
          <w:szCs w:val="24"/>
          <w:lang w:val="en-US"/>
        </w:rPr>
        <w:t>om</w:t>
      </w:r>
      <w:r w:rsidRPr="006E5C37">
        <w:rPr>
          <w:rFonts w:ascii="Times New Roman" w:hAnsi="Times New Roman" w:cs="Times New Roman"/>
          <w:i/>
          <w:sz w:val="24"/>
          <w:szCs w:val="24"/>
          <w:lang w:val="en-US"/>
        </w:rPr>
        <w:t>SMU</w:t>
      </w:r>
      <w:proofErr w:type="spellEnd"/>
      <w:r w:rsidRPr="006E5C3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E5C37" w:rsidRPr="006E5C37" w:rsidRDefault="006E5C37" w:rsidP="006E5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5C37" w:rsidRPr="006E5C37" w:rsidRDefault="006E5C37" w:rsidP="006E5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2" w:name="_GoBack"/>
      <w:r w:rsidRPr="006E5C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METHOD OF MEASURING SURFACE CONTAMINATION </w:t>
      </w:r>
    </w:p>
    <w:p w:rsidR="001C028D" w:rsidRPr="006E5C37" w:rsidRDefault="006E5C37" w:rsidP="006E5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5C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BETA-ACTIVE RADIONUCLIDES IN LABORATORY CLASSES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6E5C37">
        <w:rPr>
          <w:rFonts w:ascii="Times New Roman" w:hAnsi="Times New Roman" w:cs="Times New Roman"/>
          <w:b/>
          <w:sz w:val="24"/>
          <w:szCs w:val="24"/>
          <w:lang w:val="en-US"/>
        </w:rPr>
        <w:t>WITH INTERNATIONAL STUDENTS</w:t>
      </w:r>
    </w:p>
    <w:bookmarkEnd w:id="2"/>
    <w:p w:rsidR="001C028D" w:rsidRPr="006E5C37" w:rsidRDefault="001C028D" w:rsidP="006E5C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55B" w:rsidRPr="0000055B" w:rsidRDefault="0000055B" w:rsidP="007663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55B">
        <w:rPr>
          <w:rFonts w:ascii="Times New Roman" w:hAnsi="Times New Roman" w:cs="Times New Roman"/>
          <w:sz w:val="24"/>
          <w:szCs w:val="24"/>
          <w:lang w:val="en-US"/>
        </w:rPr>
        <w:t xml:space="preserve">Let's consider the method of measuring the contamination of indoor surfaces with beta-active radionuclides using the </w:t>
      </w:r>
      <w:r w:rsidR="00664837" w:rsidRPr="00664837">
        <w:rPr>
          <w:rFonts w:ascii="Times New Roman" w:hAnsi="Times New Roman" w:cs="Times New Roman"/>
          <w:sz w:val="24"/>
          <w:szCs w:val="24"/>
          <w:lang w:val="en-US"/>
        </w:rPr>
        <w:t>RCSB</w:t>
      </w:r>
      <w:r w:rsidRPr="0000055B">
        <w:rPr>
          <w:rFonts w:ascii="Times New Roman" w:hAnsi="Times New Roman" w:cs="Times New Roman"/>
          <w:sz w:val="24"/>
          <w:szCs w:val="24"/>
          <w:lang w:val="en-US"/>
        </w:rPr>
        <w:t>-104 "Radian" device, which is used in laboratory work in English when studying the disciplines "Protection of the Population from Emergencies. Radiation Safety" (</w:t>
      </w:r>
      <w:proofErr w:type="spellStart"/>
      <w:r w:rsidR="007D5C8B" w:rsidRPr="007D5C8B">
        <w:rPr>
          <w:rFonts w:ascii="Times New Roman" w:hAnsi="Times New Roman" w:cs="Times New Roman"/>
          <w:sz w:val="24"/>
          <w:szCs w:val="24"/>
          <w:lang w:val="en-US"/>
        </w:rPr>
        <w:t>Francisk</w:t>
      </w:r>
      <w:proofErr w:type="spellEnd"/>
      <w:r w:rsidR="007D5C8B" w:rsidRPr="007D5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D5C8B" w:rsidRPr="007D5C8B">
        <w:rPr>
          <w:rFonts w:ascii="Times New Roman" w:hAnsi="Times New Roman" w:cs="Times New Roman"/>
          <w:sz w:val="24"/>
          <w:szCs w:val="24"/>
          <w:lang w:val="en-US"/>
        </w:rPr>
        <w:t>Skorina</w:t>
      </w:r>
      <w:proofErr w:type="spellEnd"/>
      <w:r w:rsidR="007D5C8B" w:rsidRPr="007D5C8B">
        <w:rPr>
          <w:rFonts w:ascii="Times New Roman" w:hAnsi="Times New Roman" w:cs="Times New Roman"/>
          <w:sz w:val="24"/>
          <w:szCs w:val="24"/>
          <w:lang w:val="en-US"/>
        </w:rPr>
        <w:t xml:space="preserve"> Gomel State University</w:t>
      </w:r>
      <w:r w:rsidRPr="0000055B">
        <w:rPr>
          <w:rFonts w:ascii="Times New Roman" w:hAnsi="Times New Roman" w:cs="Times New Roman"/>
          <w:sz w:val="24"/>
          <w:szCs w:val="24"/>
          <w:lang w:val="en-US"/>
        </w:rPr>
        <w:t>) and "Medical and Biological Physics" (Gomel State Medical University).</w:t>
      </w:r>
    </w:p>
    <w:p w:rsidR="007663D6" w:rsidRDefault="0000055B" w:rsidP="007663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55B">
        <w:rPr>
          <w:rFonts w:ascii="Times New Roman" w:hAnsi="Times New Roman" w:cs="Times New Roman"/>
          <w:sz w:val="24"/>
          <w:szCs w:val="24"/>
          <w:lang w:val="en-US"/>
        </w:rPr>
        <w:t xml:space="preserve">The laboratory work begins with a brief theoretical introduction. The degree of contamination of various surfaces with radionuclides is </w:t>
      </w:r>
      <w:r w:rsidRPr="007663D6">
        <w:rPr>
          <w:rFonts w:ascii="Times New Roman" w:hAnsi="Times New Roman" w:cs="Times New Roman"/>
          <w:sz w:val="24"/>
          <w:szCs w:val="24"/>
          <w:lang w:val="en-US"/>
        </w:rPr>
        <w:t>usually assessed by the density of the ionizing particle flux emitted by the surface under study.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 xml:space="preserve"> The flux of ionizing particles </w:t>
      </w:r>
      <w:r w:rsidR="007663D6" w:rsidRPr="007663D6">
        <w:rPr>
          <w:position w:val="-10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pt;height:12.35pt" o:ole="">
            <v:imagedata r:id="rId5" o:title=""/>
          </v:shape>
          <o:OLEObject Type="Embed" ProgID="Equation.3" ShapeID="_x0000_i1025" DrawAspect="Content" ObjectID="_1830499768" r:id="rId6"/>
        </w:object>
      </w:r>
      <w:r w:rsidR="007663D6" w:rsidRPr="007663D6">
        <w:rPr>
          <w:lang w:val="en-US"/>
        </w:rPr>
        <w:t xml:space="preserve"> 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 xml:space="preserve">is the ratio of the number of particles </w:t>
      </w:r>
      <w:proofErr w:type="spellStart"/>
      <w:r w:rsidR="007663D6" w:rsidRPr="007663D6">
        <w:rPr>
          <w:rFonts w:ascii="Times New Roman" w:hAnsi="Times New Roman" w:cs="Times New Roman"/>
          <w:i/>
          <w:sz w:val="24"/>
          <w:szCs w:val="24"/>
          <w:lang w:val="en-US"/>
        </w:rPr>
        <w:t>dN</w:t>
      </w:r>
      <w:proofErr w:type="spellEnd"/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 xml:space="preserve"> crossing a given surface in a short period of time to the duration of that surface </w:t>
      </w:r>
      <w:proofErr w:type="spellStart"/>
      <w:r w:rsidR="007663D6" w:rsidRPr="007663D6">
        <w:rPr>
          <w:rFonts w:ascii="Times New Roman" w:hAnsi="Times New Roman" w:cs="Times New Roman"/>
          <w:i/>
          <w:sz w:val="24"/>
          <w:szCs w:val="24"/>
          <w:lang w:val="en-US"/>
        </w:rPr>
        <w:t>dt</w:t>
      </w:r>
      <w:proofErr w:type="spellEnd"/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663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63D6" w:rsidRPr="007663D6">
        <w:rPr>
          <w:position w:val="-24"/>
        </w:rPr>
        <w:object w:dxaOrig="820" w:dyaOrig="620">
          <v:shape id="_x0000_i1026" type="#_x0000_t75" style="width:41.15pt;height:30.85pt" o:ole="">
            <v:imagedata r:id="rId7" o:title=""/>
          </v:shape>
          <o:OLEObject Type="Embed" ProgID="Equation.3" ShapeID="_x0000_i1026" DrawAspect="Content" ObjectID="_1830499769" r:id="rId8"/>
        </w:object>
      </w:r>
      <w:r w:rsidR="007663D6" w:rsidRPr="007663D6">
        <w:rPr>
          <w:lang w:val="en-US"/>
        </w:rPr>
        <w:t>.</w:t>
      </w:r>
      <w:r w:rsidR="007663D6">
        <w:rPr>
          <w:lang w:val="en-US"/>
        </w:rPr>
        <w:t xml:space="preserve"> 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>Particle flux density</w:t>
      </w:r>
      <w:r w:rsidR="007663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63D6" w:rsidRPr="007663D6">
        <w:rPr>
          <w:position w:val="-24"/>
        </w:rPr>
        <w:object w:dxaOrig="999" w:dyaOrig="620">
          <v:shape id="_x0000_i1027" type="#_x0000_t75" style="width:50.4pt;height:30.85pt" o:ole="">
            <v:imagedata r:id="rId9" o:title=""/>
          </v:shape>
          <o:OLEObject Type="Embed" ProgID="Equation.3" ShapeID="_x0000_i1027" DrawAspect="Content" ObjectID="_1830499770" r:id="rId10"/>
        </w:object>
      </w:r>
      <w:r w:rsidR="007663D6" w:rsidRPr="007663D6">
        <w:rPr>
          <w:lang w:val="en-US"/>
        </w:rPr>
        <w:t>,</w:t>
      </w:r>
      <w:r w:rsidR="007663D6">
        <w:rPr>
          <w:lang w:val="en-US"/>
        </w:rPr>
        <w:t xml:space="preserve"> 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proofErr w:type="spellStart"/>
      <w:r w:rsidR="007663D6" w:rsidRPr="007663D6">
        <w:rPr>
          <w:rFonts w:ascii="Times New Roman" w:hAnsi="Times New Roman" w:cs="Times New Roman"/>
          <w:i/>
          <w:sz w:val="24"/>
          <w:szCs w:val="24"/>
          <w:lang w:val="en-US"/>
        </w:rPr>
        <w:t>dN</w:t>
      </w:r>
      <w:proofErr w:type="spellEnd"/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 xml:space="preserve"> is the number of particles crossing an elementary area of area </w:t>
      </w:r>
      <w:proofErr w:type="spellStart"/>
      <w:r w:rsidR="007663D6" w:rsidRPr="007663D6">
        <w:rPr>
          <w:rFonts w:ascii="Times New Roman" w:hAnsi="Times New Roman" w:cs="Times New Roman"/>
          <w:i/>
          <w:sz w:val="24"/>
          <w:szCs w:val="24"/>
          <w:lang w:val="en-US"/>
        </w:rPr>
        <w:t>dS</w:t>
      </w:r>
      <w:proofErr w:type="spellEnd"/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 xml:space="preserve"> perpendicular to the direction of radiation in a short period of time </w:t>
      </w:r>
      <w:proofErr w:type="spellStart"/>
      <w:r w:rsidR="007663D6" w:rsidRPr="007663D6">
        <w:rPr>
          <w:rFonts w:ascii="Times New Roman" w:hAnsi="Times New Roman" w:cs="Times New Roman"/>
          <w:i/>
          <w:sz w:val="24"/>
          <w:szCs w:val="24"/>
          <w:lang w:val="en-US"/>
        </w:rPr>
        <w:t>dt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End"/>
      <w:r w:rsidR="007663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>Instruments designed to measure the flux or flux density of ionizing particles are called radiometers</w:t>
      </w:r>
      <w:r w:rsidR="00B27DCE" w:rsidRPr="00B27D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DCE">
        <w:rPr>
          <w:rFonts w:ascii="Times New Roman" w:hAnsi="Times New Roman" w:cs="Times New Roman"/>
          <w:sz w:val="24"/>
          <w:szCs w:val="24"/>
          <w:lang w:val="en-US"/>
        </w:rPr>
        <w:t>[1]</w:t>
      </w:r>
      <w:r w:rsidR="007663D6" w:rsidRPr="007663D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63D6" w:rsidRDefault="007663D6" w:rsidP="007663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63D6">
        <w:rPr>
          <w:rFonts w:ascii="Times New Roman" w:hAnsi="Times New Roman" w:cs="Times New Roman"/>
          <w:sz w:val="24"/>
          <w:szCs w:val="24"/>
          <w:lang w:val="en-US"/>
        </w:rPr>
        <w:t>The procedure for performing the work includes preparing the device for operation, conducting measurements, and processing the results.</w:t>
      </w:r>
    </w:p>
    <w:p w:rsidR="00C842C8" w:rsidRDefault="00C842C8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42C8">
        <w:rPr>
          <w:rFonts w:ascii="Times New Roman" w:hAnsi="Times New Roman" w:cs="Times New Roman"/>
          <w:sz w:val="24"/>
          <w:szCs w:val="24"/>
          <w:lang w:val="en-US"/>
        </w:rPr>
        <w:t xml:space="preserve">Preparing the RCSB-104 «Radian» instrument for measuring surface contamination with beta-emitting radionuclides: </w:t>
      </w:r>
      <w:r>
        <w:rPr>
          <w:rFonts w:ascii="Times New Roman" w:hAnsi="Times New Roman" w:cs="Times New Roman"/>
          <w:sz w:val="24"/>
          <w:szCs w:val="24"/>
          <w:lang w:val="en-US"/>
        </w:rPr>
        <w:t>remove the filter-cover; m</w:t>
      </w:r>
      <w:r w:rsidRPr="00C842C8">
        <w:rPr>
          <w:rFonts w:ascii="Times New Roman" w:hAnsi="Times New Roman" w:cs="Times New Roman"/>
          <w:sz w:val="24"/>
          <w:szCs w:val="24"/>
          <w:lang w:val="en-US"/>
        </w:rPr>
        <w:t xml:space="preserve">ove the sliders of code switch S4 </w:t>
      </w:r>
      <w:r w:rsidRPr="00C842C8">
        <w:rPr>
          <w:rFonts w:ascii="Times New Roman" w:hAnsi="Times New Roman" w:cs="Times New Roman"/>
          <w:sz w:val="24"/>
          <w:szCs w:val="24"/>
          <w:lang w:val="en-US"/>
        </w:rPr>
        <w:lastRenderedPageBreak/>
        <w:t>to their extre</w:t>
      </w:r>
      <w:r w:rsidR="00316D4D">
        <w:rPr>
          <w:rFonts w:ascii="Times New Roman" w:hAnsi="Times New Roman" w:cs="Times New Roman"/>
          <w:sz w:val="24"/>
          <w:szCs w:val="24"/>
          <w:lang w:val="en-US"/>
        </w:rPr>
        <w:t>me positions as shown in Figure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1; r</w:t>
      </w:r>
      <w:r w:rsidRPr="00C842C8">
        <w:rPr>
          <w:rFonts w:ascii="Times New Roman" w:hAnsi="Times New Roman" w:cs="Times New Roman"/>
          <w:sz w:val="24"/>
          <w:szCs w:val="24"/>
          <w:lang w:val="en-US"/>
        </w:rPr>
        <w:t>eplace the filter-cover. Turn the gray toggle switches to the on position «</w:t>
      </w:r>
      <w:proofErr w:type="gramStart"/>
      <w:r w:rsidRPr="00C842C8">
        <w:rPr>
          <w:rFonts w:ascii="Times New Roman" w:hAnsi="Times New Roman" w:cs="Times New Roman"/>
          <w:sz w:val="24"/>
          <w:szCs w:val="24"/>
          <w:lang w:val="en-US"/>
        </w:rPr>
        <w:t>РАБ.»</w:t>
      </w:r>
      <w:proofErr w:type="gramEnd"/>
      <w:r w:rsidRPr="00C842C8">
        <w:rPr>
          <w:rFonts w:ascii="Times New Roman" w:hAnsi="Times New Roman" w:cs="Times New Roman"/>
          <w:sz w:val="24"/>
          <w:szCs w:val="24"/>
          <w:lang w:val="en-US"/>
        </w:rPr>
        <w:t xml:space="preserve"> and «x0.01x0.01x200».</w:t>
      </w:r>
    </w:p>
    <w:p w:rsidR="00DF0672" w:rsidRDefault="00DF0672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88"/>
        <w:gridCol w:w="4522"/>
      </w:tblGrid>
      <w:tr w:rsidR="00DE57DF" w:rsidTr="00DE57DF">
        <w:trPr>
          <w:trHeight w:val="2562"/>
        </w:trPr>
        <w:tc>
          <w:tcPr>
            <w:tcW w:w="2268" w:type="dxa"/>
          </w:tcPr>
          <w:p w:rsidR="00DE57DF" w:rsidRPr="00DE57DF" w:rsidRDefault="00DE57DF" w:rsidP="00DE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3DFD6BF" wp14:editId="7D3E28FC">
                  <wp:extent cx="722663" cy="1397876"/>
                  <wp:effectExtent l="0" t="0" r="127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743" cy="1411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88" w:type="dxa"/>
          </w:tcPr>
          <w:p w:rsidR="00DE57DF" w:rsidRPr="00DE57DF" w:rsidRDefault="00DE57DF" w:rsidP="00DE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B75650" wp14:editId="18772431">
                  <wp:extent cx="1104839" cy="1450428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691" cy="1475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2" w:type="dxa"/>
          </w:tcPr>
          <w:p w:rsidR="00DE57DF" w:rsidRDefault="00DE57DF" w:rsidP="00DE57DF">
            <w:pPr>
              <w:jc w:val="center"/>
              <w:rPr>
                <w:noProof/>
                <w:lang w:val="en-US"/>
              </w:rPr>
            </w:pPr>
          </w:p>
          <w:p w:rsidR="00DE57DF" w:rsidRDefault="00DE57DF" w:rsidP="00DE5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B41935" wp14:editId="7137E2F0">
                  <wp:extent cx="2039007" cy="1289811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lum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22"/>
                          <a:stretch/>
                        </pic:blipFill>
                        <pic:spPr bwMode="auto">
                          <a:xfrm>
                            <a:off x="0" y="0"/>
                            <a:ext cx="2059363" cy="130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E57DF" w:rsidRDefault="00DE57DF" w:rsidP="00DE5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1DCB" w:rsidTr="00DE57DF">
        <w:tc>
          <w:tcPr>
            <w:tcW w:w="9178" w:type="dxa"/>
            <w:gridSpan w:val="3"/>
          </w:tcPr>
          <w:p w:rsidR="00051DCB" w:rsidRDefault="00051DCB" w:rsidP="00DE5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Figure 1 – </w:t>
            </w:r>
            <w:r w:rsidR="00DE5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Switch p</w:t>
            </w:r>
            <w:r w:rsidRPr="00DC0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ositions</w:t>
            </w:r>
          </w:p>
          <w:p w:rsidR="00051DCB" w:rsidRDefault="00051DCB" w:rsidP="00DE57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CD7" w:rsidRPr="00DC0B0F" w:rsidRDefault="00474CD7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>To obtain a value for surface contamination with beta-emitting radionuclides, which is characterized by the beta flux density from the surface using the «Radian» device, it is necessary to:</w:t>
      </w:r>
    </w:p>
    <w:p w:rsidR="00474CD7" w:rsidRPr="00DC0B0F" w:rsidRDefault="00474CD7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>1. Bring the device to the surface being measured, placing a plast</w:t>
      </w:r>
      <w:r w:rsidR="00316D4D">
        <w:rPr>
          <w:rFonts w:ascii="Times New Roman" w:hAnsi="Times New Roman" w:cs="Times New Roman"/>
          <w:sz w:val="24"/>
          <w:szCs w:val="24"/>
          <w:lang w:val="en-US"/>
        </w:rPr>
        <w:t>ic container between them (Figure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0B0F" w:rsidRPr="00DC0B0F">
        <w:rPr>
          <w:rFonts w:ascii="Times New Roman" w:hAnsi="Times New Roman" w:cs="Times New Roman"/>
          <w:sz w:val="24"/>
          <w:szCs w:val="24"/>
          <w:lang w:val="en-US"/>
        </w:rPr>
        <w:t>2, a)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), or move the device 110-120 cm away from the surface. Turn on the device by setting toggle switch to the «</w:t>
      </w:r>
      <w:r w:rsidRPr="00DC0B0F">
        <w:rPr>
          <w:rFonts w:ascii="Times New Roman" w:hAnsi="Times New Roman" w:cs="Times New Roman"/>
          <w:sz w:val="24"/>
          <w:szCs w:val="24"/>
        </w:rPr>
        <w:t>ВКЛ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.» position.</w:t>
      </w:r>
    </w:p>
    <w:p w:rsidR="00474CD7" w:rsidRPr="00DC0B0F" w:rsidRDefault="00474CD7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2. Read the background reading, which will appear on the display approximately 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br/>
        <w:t>18 seconds after turning on the device. Record the reading.</w:t>
      </w:r>
    </w:p>
    <w:p w:rsidR="00316D4D" w:rsidRDefault="00474CD7" w:rsidP="0031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>3. Turn off the device by setting toggle switch to the «</w:t>
      </w:r>
      <w:r w:rsidRPr="00DC0B0F">
        <w:rPr>
          <w:rFonts w:ascii="Times New Roman" w:hAnsi="Times New Roman" w:cs="Times New Roman"/>
          <w:sz w:val="24"/>
          <w:szCs w:val="24"/>
        </w:rPr>
        <w:t>ВЫКЛ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.» position. Remove the rear filter cover and place the device above the surface being measured at a distance of no more than 1 c</w:t>
      </w:r>
      <w:r w:rsidR="00316D4D">
        <w:rPr>
          <w:rFonts w:ascii="Times New Roman" w:hAnsi="Times New Roman" w:cs="Times New Roman"/>
          <w:sz w:val="24"/>
          <w:szCs w:val="24"/>
          <w:lang w:val="en-US"/>
        </w:rPr>
        <w:t>m (Figure</w:t>
      </w:r>
      <w:r w:rsidR="00DC0B0F"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 2, b)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832A1C" w:rsidRPr="00DC0B0F" w:rsidRDefault="00832A1C" w:rsidP="00316D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DC0B0F" w:rsidRPr="00DC0B0F" w:rsidTr="00DC0B0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0B0F" w:rsidRPr="00DC0B0F" w:rsidRDefault="0016159C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CA4A9E" wp14:editId="1D9D7FA5">
                  <wp:extent cx="1609937" cy="1250731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197" cy="126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6159C" w:rsidRDefault="0016159C" w:rsidP="00DC0B0F">
            <w:pPr>
              <w:jc w:val="center"/>
              <w:rPr>
                <w:noProof/>
                <w:lang w:val="en-US"/>
              </w:rPr>
            </w:pPr>
          </w:p>
          <w:p w:rsidR="00DC0B0F" w:rsidRPr="00DC0B0F" w:rsidRDefault="00DC0B0F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B0F">
              <w:rPr>
                <w:noProof/>
                <w:lang w:val="en-US"/>
              </w:rPr>
              <w:drawing>
                <wp:inline distT="0" distB="0" distL="0" distR="0" wp14:anchorId="370D50A2" wp14:editId="14DB1B44">
                  <wp:extent cx="2500961" cy="106154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943" cy="106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B0F" w:rsidRPr="00DC0B0F" w:rsidTr="00DC0B0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0B0F" w:rsidRPr="00DC0B0F" w:rsidRDefault="00DC0B0F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0B0F" w:rsidRPr="00DC0B0F" w:rsidRDefault="00DC0B0F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</w:p>
        </w:tc>
      </w:tr>
      <w:tr w:rsidR="00DC0B0F" w:rsidRPr="00DC0B0F" w:rsidTr="00DC0B0F">
        <w:trPr>
          <w:trHeight w:val="76"/>
        </w:trPr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7DF" w:rsidRDefault="00DE57DF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0B0F" w:rsidRDefault="00861030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Figure 2 – </w:t>
            </w:r>
            <w:r w:rsidR="00DE5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Device p</w:t>
            </w:r>
            <w:r w:rsidR="00DC0B0F" w:rsidRPr="00DC0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ositioning</w:t>
            </w:r>
          </w:p>
          <w:p w:rsidR="00861030" w:rsidRPr="00DC0B0F" w:rsidRDefault="00861030" w:rsidP="00DC0B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74CD7" w:rsidRPr="00DC0B0F" w:rsidRDefault="00474CD7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>4. Turn on the instrument using toggle switch «</w:t>
      </w:r>
      <w:r w:rsidRPr="00DC0B0F">
        <w:rPr>
          <w:rFonts w:ascii="Times New Roman" w:hAnsi="Times New Roman" w:cs="Times New Roman"/>
          <w:sz w:val="24"/>
          <w:szCs w:val="24"/>
        </w:rPr>
        <w:t>ВКЛ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.». Remember or write down the instrument reading established during the intermittent beep </w:t>
      </w:r>
      <w:r w:rsidRPr="00DC0B0F">
        <w:rPr>
          <w:position w:val="-14"/>
        </w:rPr>
        <w:object w:dxaOrig="540" w:dyaOrig="380">
          <v:shape id="_x0000_i1028" type="#_x0000_t75" style="width:26.75pt;height:19.55pt" o:ole="">
            <v:imagedata r:id="rId16" o:title=""/>
          </v:shape>
          <o:OLEObject Type="Embed" ProgID="Equation.3" ShapeID="_x0000_i1028" DrawAspect="Content" ObjectID="_1830499771" r:id="rId17"/>
        </w:objec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4CD7" w:rsidRDefault="00474CD7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5. Determine the degree </w:t>
      </w:r>
      <w:r w:rsidRPr="00DC0B0F">
        <w:rPr>
          <w:position w:val="-14"/>
        </w:rPr>
        <w:object w:dxaOrig="380" w:dyaOrig="380">
          <v:shape id="_x0000_i1029" type="#_x0000_t75" style="width:19.55pt;height:19.55pt" o:ole="">
            <v:imagedata r:id="rId18" o:title=""/>
          </v:shape>
          <o:OLEObject Type="Embed" ProgID="Equation.3" ShapeID="_x0000_i1029" DrawAspect="Content" ObjectID="_1830499772" r:id="rId19"/>
        </w:object>
      </w:r>
      <w:r w:rsidRPr="00DC0B0F">
        <w:rPr>
          <w:lang w:val="en-US"/>
        </w:rPr>
        <w:t xml:space="preserve"> 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of surface contamination with beta-emitting radionuclides, which is characterized by the beta flux density from the surface, using the formula:</w:t>
      </w:r>
    </w:p>
    <w:p w:rsidR="005F5BE3" w:rsidRPr="00DC0B0F" w:rsidRDefault="005F5BE3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4CD7" w:rsidRPr="00DC0B0F" w:rsidRDefault="00474CD7" w:rsidP="005F5B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position w:val="-14"/>
        </w:rPr>
        <w:object w:dxaOrig="2079" w:dyaOrig="380">
          <v:shape id="_x0000_i1030" type="#_x0000_t75" style="width:103.9pt;height:19.55pt" o:ole="">
            <v:imagedata r:id="rId20" o:title=""/>
          </v:shape>
          <o:OLEObject Type="Embed" ProgID="Equation.3" ShapeID="_x0000_i1030" DrawAspect="Content" ObjectID="_1830499773" r:id="rId21"/>
        </w:object>
      </w:r>
      <w:r w:rsidRPr="00DC0B0F">
        <w:rPr>
          <w:lang w:val="en-US"/>
        </w:rPr>
        <w:t>,</w:t>
      </w:r>
    </w:p>
    <w:p w:rsidR="00832A1C" w:rsidRDefault="00832A1C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4CD7" w:rsidRPr="00DC0B0F" w:rsidRDefault="00474CD7" w:rsidP="00DC0B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Pr="00DC0B0F">
        <w:rPr>
          <w:position w:val="-14"/>
        </w:rPr>
        <w:object w:dxaOrig="380" w:dyaOrig="380">
          <v:shape id="_x0000_i1031" type="#_x0000_t75" style="width:19.55pt;height:19.55pt" o:ole="">
            <v:imagedata r:id="rId22" o:title=""/>
          </v:shape>
          <o:OLEObject Type="Embed" ProgID="Equation.3" ShapeID="_x0000_i1031" DrawAspect="Content" ObjectID="_1830499774" r:id="rId23"/>
        </w:object>
      </w:r>
      <w:r w:rsidRPr="00DC0B0F">
        <w:rPr>
          <w:lang w:val="en-US"/>
        </w:rPr>
        <w:t xml:space="preserve"> 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is the beta flux density from the surface in particles per second per square centimeter; </w:t>
      </w:r>
      <w:r w:rsidRPr="00DC0B0F">
        <w:rPr>
          <w:position w:val="-10"/>
        </w:rPr>
        <w:object w:dxaOrig="340" w:dyaOrig="340">
          <v:shape id="_x0000_i1032" type="#_x0000_t75" style="width:16.45pt;height:16.45pt" o:ole="">
            <v:imagedata r:id="rId24" o:title=""/>
          </v:shape>
          <o:OLEObject Type="Embed" ProgID="Equation.3" ShapeID="_x0000_i1032" DrawAspect="Content" ObjectID="_1830499775" r:id="rId25"/>
        </w:object>
      </w:r>
      <w:r w:rsidRPr="00DC0B0F">
        <w:rPr>
          <w:lang w:val="en-US"/>
        </w:rPr>
        <w:t xml:space="preserve"> 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is a</w:t>
      </w:r>
      <w:r w:rsidR="005F5BE3">
        <w:rPr>
          <w:rFonts w:ascii="Times New Roman" w:hAnsi="Times New Roman" w:cs="Times New Roman"/>
          <w:sz w:val="24"/>
          <w:szCs w:val="24"/>
          <w:lang w:val="en-US"/>
        </w:rPr>
        <w:t xml:space="preserve"> coefficient equal to 0.01 (t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able 1);</w:t>
      </w:r>
      <w:r w:rsidR="00CE4E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0B0F">
        <w:rPr>
          <w:position w:val="-14"/>
        </w:rPr>
        <w:object w:dxaOrig="540" w:dyaOrig="380">
          <v:shape id="_x0000_i1033" type="#_x0000_t75" style="width:26.75pt;height:19.55pt" o:ole="">
            <v:imagedata r:id="rId16" o:title=""/>
          </v:shape>
          <o:OLEObject Type="Embed" ProgID="Equation.3" ShapeID="_x0000_i1033" DrawAspect="Content" ObjectID="_1830499776" r:id="rId26"/>
        </w:objec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 xml:space="preserve"> is the instrument reading with the cover removed; </w:t>
      </w:r>
      <w:r w:rsidRPr="00DC0B0F">
        <w:rPr>
          <w:position w:val="-14"/>
        </w:rPr>
        <w:object w:dxaOrig="360" w:dyaOrig="380">
          <v:shape id="_x0000_i1034" type="#_x0000_t75" style="width:18.5pt;height:19.55pt" o:ole="">
            <v:imagedata r:id="rId27" o:title=""/>
          </v:shape>
          <o:OLEObject Type="Embed" ProgID="Equation.3" ShapeID="_x0000_i1034" DrawAspect="Content" ObjectID="_1830499777" r:id="rId28"/>
        </w:object>
      </w:r>
      <w:r w:rsidRPr="00DC0B0F">
        <w:rPr>
          <w:lang w:val="en-US"/>
        </w:rPr>
        <w:t xml:space="preserve"> </w:t>
      </w:r>
      <w:r w:rsidRPr="00DC0B0F">
        <w:rPr>
          <w:rFonts w:ascii="Times New Roman" w:hAnsi="Times New Roman" w:cs="Times New Roman"/>
          <w:sz w:val="24"/>
          <w:szCs w:val="24"/>
          <w:lang w:val="en-US"/>
        </w:rPr>
        <w:t>is the instrument reading corresponding to the external gamma radiation background.</w:t>
      </w:r>
    </w:p>
    <w:p w:rsidR="00474CD7" w:rsidRPr="00DC0B0F" w:rsidRDefault="00474CD7" w:rsidP="00DC0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4CD7" w:rsidRPr="005F5BE3" w:rsidRDefault="005F5BE3" w:rsidP="00861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Table 1 – </w:t>
      </w:r>
      <w:r w:rsidR="00474CD7" w:rsidRPr="005F5BE3">
        <w:rPr>
          <w:rFonts w:ascii="Times New Roman" w:hAnsi="Times New Roman" w:cs="Times New Roman"/>
          <w:sz w:val="24"/>
          <w:szCs w:val="24"/>
          <w:lang w:val="en-US"/>
        </w:rPr>
        <w:t>Values of conversion factors for the RCSB-104 «Radian» device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362"/>
        <w:gridCol w:w="1286"/>
        <w:gridCol w:w="1440"/>
        <w:gridCol w:w="1440"/>
      </w:tblGrid>
      <w:tr w:rsidR="00474CD7" w:rsidRPr="00646B23" w:rsidTr="00921D13">
        <w:trPr>
          <w:trHeight w:val="332"/>
          <w:jc w:val="center"/>
        </w:trPr>
        <w:tc>
          <w:tcPr>
            <w:tcW w:w="2978" w:type="dxa"/>
            <w:vMerge w:val="restart"/>
            <w:shd w:val="clear" w:color="auto" w:fill="auto"/>
          </w:tcPr>
          <w:p w:rsidR="00921D13" w:rsidRDefault="00921D13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6B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Measured value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921D13" w:rsidRDefault="00921D13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74CD7" w:rsidRPr="00372399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Designation</w:t>
            </w:r>
          </w:p>
        </w:tc>
        <w:tc>
          <w:tcPr>
            <w:tcW w:w="1286" w:type="dxa"/>
            <w:vMerge w:val="restart"/>
            <w:shd w:val="clear" w:color="auto" w:fill="auto"/>
          </w:tcPr>
          <w:p w:rsidR="00474CD7" w:rsidRPr="00372399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Unit of measurement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474CD7" w:rsidRPr="00372399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3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Value of conversion factors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E032A">
              <w:rPr>
                <w:position w:val="-10"/>
              </w:rPr>
              <w:object w:dxaOrig="340" w:dyaOrig="340">
                <v:shape id="_x0000_i1035" type="#_x0000_t75" style="width:16.45pt;height:16.45pt" o:ole="">
                  <v:imagedata r:id="rId29" o:title=""/>
                </v:shape>
                <o:OLEObject Type="Embed" ProgID="Equation.3" ShapeID="_x0000_i1035" DrawAspect="Content" ObjectID="_1830499778" r:id="rId30"/>
              </w:object>
            </w:r>
          </w:p>
        </w:tc>
      </w:tr>
      <w:tr w:rsidR="00474CD7" w:rsidRPr="00474CD7" w:rsidTr="00B27DCE">
        <w:trPr>
          <w:trHeight w:val="399"/>
          <w:jc w:val="center"/>
        </w:trPr>
        <w:tc>
          <w:tcPr>
            <w:tcW w:w="297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474CD7" w:rsidRPr="000635D3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5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«x0.01x0.01</w:t>
            </w:r>
          </w:p>
          <w:p w:rsidR="00474CD7" w:rsidRPr="00372399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69BA">
              <w:rPr>
                <w:rFonts w:ascii="Times New Roman" w:hAnsi="Times New Roman" w:cs="Times New Roman"/>
                <w:sz w:val="20"/>
                <w:szCs w:val="20"/>
              </w:rPr>
              <w:t>x200»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474CD7" w:rsidRPr="00372399" w:rsidRDefault="00474CD7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5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«x0.001x0.001x20»</w:t>
            </w:r>
          </w:p>
        </w:tc>
      </w:tr>
      <w:tr w:rsidR="00474CD7" w:rsidRPr="00646B23" w:rsidTr="005F5BE3">
        <w:trPr>
          <w:jc w:val="center"/>
        </w:trPr>
        <w:tc>
          <w:tcPr>
            <w:tcW w:w="2978" w:type="dxa"/>
            <w:tcBorders>
              <w:top w:val="double" w:sz="4" w:space="0" w:color="auto"/>
            </w:tcBorders>
            <w:shd w:val="clear" w:color="auto" w:fill="auto"/>
          </w:tcPr>
          <w:p w:rsidR="00474CD7" w:rsidRPr="00646B23" w:rsidRDefault="00474CD7" w:rsidP="0086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 equivalent dose rate of gamma-radiation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object w:dxaOrig="279" w:dyaOrig="300">
                <v:shape id="_x0000_i1036" type="#_x0000_t75" style="width:14.4pt;height:14.4pt" o:ole="">
                  <v:imagedata r:id="rId31" o:title=""/>
                </v:shape>
                <o:OLEObject Type="Embed" ProgID="Equation.3" ShapeID="_x0000_i1036" DrawAspect="Content" ObjectID="_1830499779" r:id="rId32"/>
              </w:object>
            </w:r>
          </w:p>
        </w:tc>
        <w:tc>
          <w:tcPr>
            <w:tcW w:w="1286" w:type="dxa"/>
            <w:tcBorders>
              <w:top w:val="double" w:sz="4" w:space="0" w:color="auto"/>
            </w:tcBorders>
            <w:shd w:val="clear" w:color="auto" w:fill="auto"/>
          </w:tcPr>
          <w:p w:rsidR="00474CD7" w:rsidRPr="006E0CA5" w:rsidRDefault="00474CD7" w:rsidP="0086103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6E70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µ</w:t>
            </w:r>
            <w:proofErr w:type="spellStart"/>
            <w:r w:rsidRPr="006E0CA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Sv</w:t>
            </w:r>
            <w:proofErr w:type="spellEnd"/>
            <w:r w:rsidRPr="006E0CA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/hour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2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</w:t>
            </w:r>
            <w:r w:rsidRPr="00646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2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</w:t>
            </w:r>
            <w:r w:rsidRPr="00646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</w:t>
            </w:r>
          </w:p>
        </w:tc>
      </w:tr>
      <w:tr w:rsidR="00474CD7" w:rsidRPr="00646B23" w:rsidTr="00A76EE5">
        <w:trPr>
          <w:jc w:val="center"/>
        </w:trPr>
        <w:tc>
          <w:tcPr>
            <w:tcW w:w="2978" w:type="dxa"/>
            <w:shd w:val="clear" w:color="auto" w:fill="auto"/>
          </w:tcPr>
          <w:p w:rsidR="00474CD7" w:rsidRPr="00646B23" w:rsidRDefault="00474CD7" w:rsidP="00861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Surface beta flux density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6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object w:dxaOrig="220" w:dyaOrig="260">
                <v:shape id="_x0000_i1037" type="#_x0000_t75" style="width:11.3pt;height:12.35pt" o:ole="">
                  <v:imagedata r:id="rId33" o:title=""/>
                </v:shape>
                <o:OLEObject Type="Embed" ProgID="Equation.3" ShapeID="_x0000_i1037" DrawAspect="Content" ObjectID="_1830499780" r:id="rId34"/>
              </w:object>
            </w:r>
          </w:p>
        </w:tc>
        <w:tc>
          <w:tcPr>
            <w:tcW w:w="1286" w:type="dxa"/>
            <w:shd w:val="clear" w:color="auto" w:fill="auto"/>
          </w:tcPr>
          <w:p w:rsidR="00474CD7" w:rsidRPr="006E0CA5" w:rsidRDefault="006E70BF" w:rsidP="0086103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545469">
              <w:rPr>
                <w:i/>
                <w:iCs/>
                <w:position w:val="-24"/>
                <w:sz w:val="20"/>
                <w:szCs w:val="20"/>
                <w:lang w:val="en-US"/>
              </w:rPr>
              <w:object w:dxaOrig="920" w:dyaOrig="620">
                <v:shape id="_x0000_i1038" type="#_x0000_t75" style="width:36pt;height:23.65pt" o:ole="">
                  <v:imagedata r:id="rId35" o:title=""/>
                </v:shape>
                <o:OLEObject Type="Embed" ProgID="Equation.DSMT4" ShapeID="_x0000_i1038" DrawAspect="Content" ObjectID="_1830499781" r:id="rId36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2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</w:t>
            </w:r>
            <w:r w:rsidRPr="00646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74CD7" w:rsidRPr="00646B23" w:rsidRDefault="00474CD7" w:rsidP="00861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23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</w:t>
            </w:r>
            <w:r w:rsidRPr="00646B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001</w:t>
            </w:r>
          </w:p>
        </w:tc>
      </w:tr>
    </w:tbl>
    <w:p w:rsidR="00C842C8" w:rsidRDefault="00C842C8" w:rsidP="00366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BED" w:rsidRPr="00E05BED" w:rsidRDefault="00E05BED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Therefore, to study the contamination of a room with </w:t>
      </w:r>
      <w:r w:rsidRPr="00921D13">
        <w:rPr>
          <w:rFonts w:ascii="Times New Roman" w:hAnsi="Times New Roman" w:cs="Times New Roman"/>
          <w:i/>
          <w:sz w:val="24"/>
          <w:szCs w:val="24"/>
          <w:lang w:val="en-US"/>
        </w:rPr>
        <w:t>β</w: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>-emitting radionuclides in this work, it is necessary:</w:t>
      </w:r>
    </w:p>
    <w:p w:rsidR="00E05BED" w:rsidRPr="00E05BED" w:rsidRDefault="00E05BED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1. Select 3-5 control points for measurements in the room under study (if </w:t>
      </w:r>
      <w:r w:rsidRPr="00E05BED">
        <w:rPr>
          <w:rFonts w:ascii="Times New Roman" w:hAnsi="Times New Roman" w:cs="Times New Roman"/>
          <w:color w:val="000000"/>
          <w:position w:val="-10"/>
          <w:sz w:val="24"/>
          <w:szCs w:val="24"/>
        </w:rPr>
        <w:object w:dxaOrig="1100" w:dyaOrig="340">
          <v:shape id="_x0000_i1039" type="#_x0000_t75" style="width:55.55pt;height:16.45pt" o:ole="">
            <v:imagedata r:id="rId37" o:title=""/>
          </v:shape>
          <o:OLEObject Type="Embed" ProgID="Equation.3" ShapeID="_x0000_i1039" DrawAspect="Content" ObjectID="_1830499782" r:id="rId38"/>
        </w:objec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E05BED" w:rsidRPr="00E05BED" w:rsidRDefault="00E05BED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2. At each point, conduct 3-5 measurements of the background γ-radiation flux </w:t>
      </w:r>
      <w:r w:rsidRPr="00E05BED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60" w:dyaOrig="380">
          <v:shape id="_x0000_i1040" type="#_x0000_t75" style="width:17.5pt;height:19.55pt" o:ole="">
            <v:imagedata r:id="rId39" o:title=""/>
          </v:shape>
          <o:OLEObject Type="Embed" ProgID="Equation.3" ShapeID="_x0000_i1040" DrawAspect="Content" ObjectID="_1830499783" r:id="rId40"/>
        </w:object>
      </w:r>
      <w:r w:rsidR="005F5BE3">
        <w:rPr>
          <w:rFonts w:ascii="Times New Roman" w:hAnsi="Times New Roman" w:cs="Times New Roman"/>
          <w:color w:val="000000"/>
          <w:position w:val="-14"/>
          <w:sz w:val="24"/>
          <w:szCs w:val="24"/>
          <w:lang w:val="en-US"/>
        </w:rPr>
        <w:t xml:space="preserve"> </w: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and calculate its average value </w:t>
      </w:r>
      <w:r w:rsidRPr="00E05BED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360" w:dyaOrig="320">
          <v:shape id="_x0000_i1041" type="#_x0000_t75" style="width:17.5pt;height:15.45pt" o:ole="">
            <v:imagedata r:id="rId41" o:title=""/>
          </v:shape>
          <o:OLEObject Type="Embed" ProgID="Equation.3" ShapeID="_x0000_i1041" DrawAspect="Content" ObjectID="_1830499784" r:id="rId42"/>
        </w:objec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5BED" w:rsidRDefault="00E05BED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3. For each point, determine (measure) the flux from </w:t>
      </w:r>
      <w:r w:rsidRPr="00921D13">
        <w:rPr>
          <w:rFonts w:ascii="Times New Roman" w:hAnsi="Times New Roman" w:cs="Times New Roman"/>
          <w:i/>
          <w:sz w:val="24"/>
          <w:szCs w:val="24"/>
          <w:lang w:val="en-US"/>
        </w:rPr>
        <w:t>β</w: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-radiation and from background </w: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br/>
        <w:t xml:space="preserve">γ-radiation </w:t>
      </w:r>
      <w:r w:rsidRPr="00E05BED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540" w:dyaOrig="380">
          <v:shape id="_x0000_i1042" type="#_x0000_t75" style="width:26.75pt;height:19.55pt" o:ole="">
            <v:imagedata r:id="rId43" o:title=""/>
          </v:shape>
          <o:OLEObject Type="Embed" ProgID="Equation.3" ShapeID="_x0000_i1042" DrawAspect="Content" ObjectID="_1830499785" r:id="rId44"/>
        </w:objec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 xml:space="preserve"> 3-5 times and determine </w:t>
      </w:r>
      <w:r w:rsidRPr="00E05BED">
        <w:rPr>
          <w:rFonts w:ascii="Times New Roman" w:hAnsi="Times New Roman" w:cs="Times New Roman"/>
          <w:color w:val="000000"/>
          <w:position w:val="-8"/>
          <w:sz w:val="24"/>
          <w:szCs w:val="24"/>
        </w:rPr>
        <w:object w:dxaOrig="540" w:dyaOrig="320">
          <v:shape id="_x0000_i1043" type="#_x0000_t75" style="width:26.75pt;height:15.45pt" o:ole="">
            <v:imagedata r:id="rId45" o:title=""/>
          </v:shape>
          <o:OLEObject Type="Embed" ProgID="Equation.3" ShapeID="_x0000_i1043" DrawAspect="Content" ObjectID="_1830499786" r:id="rId46"/>
        </w:object>
      </w:r>
      <w:r w:rsidRPr="00E05BE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70BF" w:rsidRDefault="006E70BF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70BF">
        <w:rPr>
          <w:rFonts w:ascii="Times New Roman" w:hAnsi="Times New Roman" w:cs="Times New Roman"/>
          <w:sz w:val="24"/>
          <w:szCs w:val="24"/>
          <w:lang w:val="en-US"/>
        </w:rPr>
        <w:t>To process the measurement results, it is necessary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E70BF" w:rsidRPr="00700ECD" w:rsidRDefault="006E70BF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ECD">
        <w:rPr>
          <w:rFonts w:ascii="Times New Roman" w:hAnsi="Times New Roman" w:cs="Times New Roman"/>
          <w:sz w:val="24"/>
          <w:szCs w:val="24"/>
          <w:lang w:val="en-US"/>
        </w:rPr>
        <w:t xml:space="preserve">1. For each point, calculate the </w:t>
      </w:r>
      <w:r w:rsidRPr="00921D13">
        <w:rPr>
          <w:rFonts w:ascii="Times New Roman" w:hAnsi="Times New Roman" w:cs="Times New Roman"/>
          <w:i/>
          <w:sz w:val="24"/>
          <w:szCs w:val="24"/>
          <w:lang w:val="en-US"/>
        </w:rPr>
        <w:t>β</w:t>
      </w:r>
      <w:r w:rsidRPr="00700ECD">
        <w:rPr>
          <w:rFonts w:ascii="Times New Roman" w:hAnsi="Times New Roman" w:cs="Times New Roman"/>
          <w:sz w:val="24"/>
          <w:szCs w:val="24"/>
          <w:lang w:val="en-US"/>
        </w:rPr>
        <w:t>-particle flux value using the formula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3530">
        <w:rPr>
          <w:color w:val="000000"/>
          <w:position w:val="-14"/>
          <w:sz w:val="20"/>
          <w:szCs w:val="20"/>
        </w:rPr>
        <w:object w:dxaOrig="1600" w:dyaOrig="380">
          <v:shape id="_x0000_i1044" type="#_x0000_t75" style="width:80.25pt;height:19.55pt" o:ole="">
            <v:imagedata r:id="rId47" o:title=""/>
          </v:shape>
          <o:OLEObject Type="Embed" ProgID="Equation.DSMT4" ShapeID="_x0000_i1044" DrawAspect="Content" ObjectID="_1830499787" r:id="rId4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0C1C">
        <w:rPr>
          <w:rFonts w:ascii="Times New Roman" w:hAnsi="Times New Roman" w:cs="Times New Roman"/>
          <w:sz w:val="24"/>
          <w:szCs w:val="24"/>
          <w:lang w:val="en-US"/>
        </w:rPr>
        <w:t>and determine</w:t>
      </w:r>
      <w:r w:rsidRPr="002C32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73B9">
        <w:rPr>
          <w:color w:val="000000"/>
          <w:position w:val="-8"/>
        </w:rPr>
        <w:object w:dxaOrig="360" w:dyaOrig="360">
          <v:shape id="_x0000_i1045" type="#_x0000_t75" style="width:18.5pt;height:18.5pt" o:ole="">
            <v:imagedata r:id="rId49" o:title=""/>
          </v:shape>
          <o:OLEObject Type="Embed" ProgID="Equation.DSMT4" ShapeID="_x0000_i1045" DrawAspect="Content" ObjectID="_1830499788" r:id="rId50"/>
        </w:object>
      </w:r>
      <w:r w:rsidRPr="00EC0C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E70BF" w:rsidRPr="00C9386F" w:rsidRDefault="006E70BF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ECD">
        <w:rPr>
          <w:rFonts w:ascii="Times New Roman" w:hAnsi="Times New Roman" w:cs="Times New Roman"/>
          <w:sz w:val="24"/>
          <w:szCs w:val="24"/>
          <w:lang w:val="en-US"/>
        </w:rPr>
        <w:t xml:space="preserve">2. Calculate the absolute error in the </w:t>
      </w:r>
      <w:r w:rsidRPr="00921D13">
        <w:rPr>
          <w:rFonts w:ascii="Times New Roman" w:hAnsi="Times New Roman" w:cs="Times New Roman"/>
          <w:i/>
          <w:sz w:val="24"/>
          <w:szCs w:val="24"/>
          <w:lang w:val="en-US"/>
        </w:rPr>
        <w:t>β</w:t>
      </w:r>
      <w:r w:rsidRPr="00700ECD">
        <w:rPr>
          <w:rFonts w:ascii="Times New Roman" w:hAnsi="Times New Roman" w:cs="Times New Roman"/>
          <w:sz w:val="24"/>
          <w:szCs w:val="24"/>
          <w:lang w:val="en-US"/>
        </w:rPr>
        <w:t>-parti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cle flux value for each point </w:t>
      </w:r>
      <w:r w:rsidRPr="00BC432E">
        <w:rPr>
          <w:color w:val="000000"/>
          <w:position w:val="-14"/>
        </w:rPr>
        <w:object w:dxaOrig="520" w:dyaOrig="380">
          <v:shape id="_x0000_i1046" type="#_x0000_t75" style="width:24.7pt;height:19.55pt" o:ole="">
            <v:imagedata r:id="rId51" o:title=""/>
          </v:shape>
          <o:OLEObject Type="Embed" ProgID="Equation.3" ShapeID="_x0000_i1046" DrawAspect="Content" ObjectID="_1830499789" r:id="rId52"/>
        </w:object>
      </w:r>
      <w:r>
        <w:rPr>
          <w:color w:val="000000"/>
          <w:lang w:val="en-US"/>
        </w:rPr>
        <w:t>.</w:t>
      </w:r>
    </w:p>
    <w:p w:rsidR="006E70BF" w:rsidRPr="00545469" w:rsidRDefault="006E70BF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ECD">
        <w:rPr>
          <w:rFonts w:ascii="Times New Roman" w:hAnsi="Times New Roman" w:cs="Times New Roman"/>
          <w:sz w:val="24"/>
          <w:szCs w:val="24"/>
          <w:lang w:val="en-US"/>
        </w:rPr>
        <w:t>3. Draw a pollut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ion map indicating the values </w:t>
      </w:r>
      <w:r w:rsidRPr="00700ECD">
        <w:rPr>
          <w:rFonts w:ascii="Times New Roman" w:hAnsi="Times New Roman" w:cs="Times New Roman"/>
          <w:sz w:val="24"/>
          <w:szCs w:val="24"/>
          <w:lang w:val="en-US"/>
        </w:rPr>
        <w:t>and absolute errors.</w:t>
      </w:r>
    </w:p>
    <w:p w:rsidR="006E70BF" w:rsidRDefault="00C54E15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E15">
        <w:rPr>
          <w:rFonts w:ascii="Times New Roman" w:hAnsi="Times New Roman" w:cs="Times New Roman"/>
          <w:sz w:val="24"/>
          <w:szCs w:val="24"/>
          <w:lang w:val="en-US"/>
        </w:rPr>
        <w:t>The results of the laboratory work are presented in Figure 3.</w:t>
      </w:r>
    </w:p>
    <w:p w:rsidR="00C54E15" w:rsidRPr="00C54E15" w:rsidRDefault="00C54E15" w:rsidP="00C54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4E15" w:rsidRPr="00B27DCE" w:rsidRDefault="00C54E15" w:rsidP="00B27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6E16FCC">
            <wp:extent cx="3821438" cy="2060028"/>
            <wp:effectExtent l="19050" t="19050" r="26670" b="165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715" cy="207742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27DCE" w:rsidRDefault="00B27DCE" w:rsidP="00B27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4E15" w:rsidRDefault="00C54E15" w:rsidP="00B27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3 – </w:t>
      </w:r>
      <w:r w:rsidR="00B27DCE" w:rsidRPr="00B27DCE">
        <w:rPr>
          <w:rFonts w:ascii="Times New Roman" w:hAnsi="Times New Roman" w:cs="Times New Roman"/>
          <w:sz w:val="24"/>
          <w:szCs w:val="24"/>
          <w:lang w:val="en-US"/>
        </w:rPr>
        <w:t>Map of surface contamination in the training laboratory</w:t>
      </w:r>
    </w:p>
    <w:p w:rsidR="00392F84" w:rsidRPr="00392F84" w:rsidRDefault="00392F84" w:rsidP="00B27D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92F84" w:rsidRPr="00392F84" w:rsidRDefault="00392F84" w:rsidP="00392F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2F84">
        <w:rPr>
          <w:rFonts w:ascii="Times New Roman" w:hAnsi="Times New Roman" w:cs="Times New Roman"/>
          <w:sz w:val="24"/>
          <w:szCs w:val="24"/>
          <w:lang w:val="en-US"/>
        </w:rPr>
        <w:t xml:space="preserve">The proposed methodology allows students to accurately assess the degree of contamination of indoor surfaces with beta-active radionuclides, learn </w:t>
      </w:r>
      <w:proofErr w:type="spellStart"/>
      <w:r w:rsidRPr="00392F84">
        <w:rPr>
          <w:rFonts w:ascii="Times New Roman" w:hAnsi="Times New Roman" w:cs="Times New Roman"/>
          <w:sz w:val="24"/>
          <w:szCs w:val="24"/>
          <w:lang w:val="en-US"/>
        </w:rPr>
        <w:t>dosimetric</w:t>
      </w:r>
      <w:proofErr w:type="spellEnd"/>
      <w:r w:rsidRPr="00392F84">
        <w:rPr>
          <w:rFonts w:ascii="Times New Roman" w:hAnsi="Times New Roman" w:cs="Times New Roman"/>
          <w:sz w:val="24"/>
          <w:szCs w:val="24"/>
          <w:lang w:val="en-US"/>
        </w:rPr>
        <w:t xml:space="preserve"> control methods, and understand the need for radiation safety measures.</w:t>
      </w:r>
    </w:p>
    <w:p w:rsidR="00392F84" w:rsidRPr="00392F84" w:rsidRDefault="00392F84" w:rsidP="00C54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F2F07" w:rsidRPr="00876C9F" w:rsidRDefault="00C54E15" w:rsidP="00C54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4E41">
        <w:rPr>
          <w:rFonts w:ascii="Times New Roman" w:hAnsi="Times New Roman" w:cs="Times New Roman"/>
          <w:b/>
          <w:sz w:val="24"/>
          <w:szCs w:val="24"/>
          <w:lang w:val="en-US"/>
        </w:rPr>
        <w:t>Literature</w:t>
      </w:r>
    </w:p>
    <w:p w:rsidR="003F2F07" w:rsidRPr="00876C9F" w:rsidRDefault="003F2F07" w:rsidP="003F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E41" w:rsidRPr="00CE4E41" w:rsidRDefault="001B4E9B" w:rsidP="0036658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1. 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Martin, J. E.</w:t>
      </w:r>
      <w:r w:rsidR="00CE4E41"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hysics for radiation protection</w:t>
      </w:r>
      <w:r w:rsidR="00CE4E41"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/ 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J. E.</w:t>
      </w:r>
      <w:r w:rsidR="00CE4E41"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Martin</w:t>
      </w:r>
      <w:r w:rsidR="00CE4E41"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– 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Wiley-VCH</w:t>
      </w:r>
      <w:r w:rsidR="00CE4E41"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2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006</w:t>
      </w:r>
      <w:r w:rsidR="00CE4E41" w:rsidRPr="001C02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. – </w:t>
      </w:r>
      <w:r w:rsidR="00CE4E41" w:rsidRP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844 </w:t>
      </w:r>
      <w:r w:rsidR="00CE4E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p.</w:t>
      </w:r>
    </w:p>
    <w:sectPr w:rsidR="00CE4E41" w:rsidRPr="00CE4E41" w:rsidSect="001C028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59"/>
    <w:rsid w:val="0000055B"/>
    <w:rsid w:val="00016169"/>
    <w:rsid w:val="00051DCB"/>
    <w:rsid w:val="00063313"/>
    <w:rsid w:val="00090FC8"/>
    <w:rsid w:val="001101CD"/>
    <w:rsid w:val="0014588A"/>
    <w:rsid w:val="00157A7D"/>
    <w:rsid w:val="0016159C"/>
    <w:rsid w:val="00176995"/>
    <w:rsid w:val="0019203F"/>
    <w:rsid w:val="001B4E9B"/>
    <w:rsid w:val="001C028D"/>
    <w:rsid w:val="002628BF"/>
    <w:rsid w:val="002652AF"/>
    <w:rsid w:val="0029477E"/>
    <w:rsid w:val="00316D4D"/>
    <w:rsid w:val="003351EE"/>
    <w:rsid w:val="003545B4"/>
    <w:rsid w:val="00366586"/>
    <w:rsid w:val="00392F84"/>
    <w:rsid w:val="003F2F07"/>
    <w:rsid w:val="00432DE9"/>
    <w:rsid w:val="00433ECD"/>
    <w:rsid w:val="00474CD7"/>
    <w:rsid w:val="004C7B74"/>
    <w:rsid w:val="005F5BE3"/>
    <w:rsid w:val="006148AA"/>
    <w:rsid w:val="00615559"/>
    <w:rsid w:val="006305CD"/>
    <w:rsid w:val="00664837"/>
    <w:rsid w:val="006D05BC"/>
    <w:rsid w:val="006E5C37"/>
    <w:rsid w:val="006E700A"/>
    <w:rsid w:val="006E70BF"/>
    <w:rsid w:val="0072684B"/>
    <w:rsid w:val="007663D6"/>
    <w:rsid w:val="00782338"/>
    <w:rsid w:val="007B59F6"/>
    <w:rsid w:val="007D0FA5"/>
    <w:rsid w:val="007D5C8B"/>
    <w:rsid w:val="007F1DA3"/>
    <w:rsid w:val="007F6B93"/>
    <w:rsid w:val="00802BF0"/>
    <w:rsid w:val="00813E87"/>
    <w:rsid w:val="00832A1C"/>
    <w:rsid w:val="00861030"/>
    <w:rsid w:val="00876C9F"/>
    <w:rsid w:val="008C42AD"/>
    <w:rsid w:val="008E6A59"/>
    <w:rsid w:val="0090225F"/>
    <w:rsid w:val="00904CAE"/>
    <w:rsid w:val="00912C1C"/>
    <w:rsid w:val="00921D13"/>
    <w:rsid w:val="00953979"/>
    <w:rsid w:val="0095670D"/>
    <w:rsid w:val="00971621"/>
    <w:rsid w:val="009F0845"/>
    <w:rsid w:val="00A95826"/>
    <w:rsid w:val="00AC0D50"/>
    <w:rsid w:val="00AE4010"/>
    <w:rsid w:val="00B27DCE"/>
    <w:rsid w:val="00B522B9"/>
    <w:rsid w:val="00B5374D"/>
    <w:rsid w:val="00B54936"/>
    <w:rsid w:val="00BD2617"/>
    <w:rsid w:val="00C30F7F"/>
    <w:rsid w:val="00C33994"/>
    <w:rsid w:val="00C35C89"/>
    <w:rsid w:val="00C35D06"/>
    <w:rsid w:val="00C51B62"/>
    <w:rsid w:val="00C54D8A"/>
    <w:rsid w:val="00C54E15"/>
    <w:rsid w:val="00C842C8"/>
    <w:rsid w:val="00CB147D"/>
    <w:rsid w:val="00CE4E41"/>
    <w:rsid w:val="00D1234D"/>
    <w:rsid w:val="00D13D5E"/>
    <w:rsid w:val="00D77643"/>
    <w:rsid w:val="00D90EC0"/>
    <w:rsid w:val="00D92220"/>
    <w:rsid w:val="00DC0B0F"/>
    <w:rsid w:val="00DE080B"/>
    <w:rsid w:val="00DE57DF"/>
    <w:rsid w:val="00DF0672"/>
    <w:rsid w:val="00DF0A36"/>
    <w:rsid w:val="00E05BED"/>
    <w:rsid w:val="00E97029"/>
    <w:rsid w:val="00EA5ABA"/>
    <w:rsid w:val="00F16E90"/>
    <w:rsid w:val="00F26EF4"/>
    <w:rsid w:val="00F358C7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5:docId w15:val="{CD146BB8-C4EB-4AD9-8485-69718237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B4"/>
  </w:style>
  <w:style w:type="paragraph" w:styleId="2">
    <w:name w:val="heading 2"/>
    <w:basedOn w:val="a"/>
    <w:next w:val="a"/>
    <w:link w:val="20"/>
    <w:uiPriority w:val="9"/>
    <w:qFormat/>
    <w:rsid w:val="008E6A5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6A5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E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A5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E6A59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5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15.wmf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5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2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image" Target="media/image11.wmf"/><Relationship Id="rId41" Type="http://schemas.openxmlformats.org/officeDocument/2006/relationships/image" Target="media/image21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8.png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C81F6-4FEB-4366-82BF-520558E8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Deryuzhkova</dc:creator>
  <cp:lastModifiedBy>dom</cp:lastModifiedBy>
  <cp:revision>2</cp:revision>
  <cp:lastPrinted>2024-01-08T21:30:00Z</cp:lastPrinted>
  <dcterms:created xsi:type="dcterms:W3CDTF">2026-01-21T08:23:00Z</dcterms:created>
  <dcterms:modified xsi:type="dcterms:W3CDTF">2026-01-21T08:23:00Z</dcterms:modified>
</cp:coreProperties>
</file>